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05DF3" w:rsidRPr="00F801FE" w:rsidTr="00AB3005">
        <w:tc>
          <w:tcPr>
            <w:tcW w:w="10206" w:type="dxa"/>
            <w:gridSpan w:val="2"/>
          </w:tcPr>
          <w:p w:rsidR="00C05DF3" w:rsidRPr="00C05DF3" w:rsidRDefault="00303E92" w:rsidP="00303E92">
            <w:pPr>
              <w:rPr>
                <w:b/>
                <w:sz w:val="56"/>
                <w:szCs w:val="56"/>
              </w:rPr>
            </w:pPr>
            <w:r w:rsidRPr="00303E92"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313055</wp:posOffset>
                      </wp:positionV>
                      <wp:extent cx="3208020" cy="55626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E92" w:rsidRDefault="00303E92">
                                  <w:r w:rsidRPr="00C05DF3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ACCRO DE SCIENCES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2.3pt;margin-top:24.65pt;width:252.6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" stroked="f">
                      <v:textbox>
                        <w:txbxContent>
                          <w:p w:rsidR="00303E92" w:rsidRDefault="00303E92">
                            <w:r w:rsidRPr="00C05DF3">
                              <w:rPr>
                                <w:b/>
                                <w:sz w:val="56"/>
                                <w:szCs w:val="56"/>
                              </w:rPr>
                              <w:t>ACCRO DE SCIENCES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4D4A48D" wp14:editId="4CB9A6E3">
                  <wp:simplePos x="0" y="0"/>
                  <wp:positionH relativeFrom="column">
                    <wp:posOffset>4839335</wp:posOffset>
                  </wp:positionH>
                  <wp:positionV relativeFrom="paragraph">
                    <wp:posOffset>136525</wp:posOffset>
                  </wp:positionV>
                  <wp:extent cx="15240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330" y="21130"/>
                      <wp:lineTo x="21330" y="0"/>
                      <wp:lineTo x="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1BF">
              <w:rPr>
                <w:b/>
                <w:noProof/>
                <w:sz w:val="56"/>
                <w:szCs w:val="56"/>
              </w:rPr>
              <w:drawing>
                <wp:inline distT="0" distB="0" distL="0" distR="0" wp14:anchorId="209B52DB" wp14:editId="01C66032">
                  <wp:extent cx="853440" cy="1167697"/>
                  <wp:effectExtent l="0" t="0" r="3810" b="0"/>
                  <wp:docPr id="1" name="Image 1" descr="C:\Users\cgleitz\Documents\Documents pro\Modèles\Nouveau logo 2017\logo_juin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gleitz\Documents\Documents pro\Modèles\Nouveau logo 2017\logo_juin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55" cy="118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     </w:t>
            </w:r>
          </w:p>
        </w:tc>
      </w:tr>
      <w:tr w:rsidR="00F801FE" w:rsidRPr="00C05DF3" w:rsidTr="000A3AE7">
        <w:trPr>
          <w:trHeight w:val="558"/>
        </w:trPr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Cycle :</w:t>
            </w:r>
            <w:r w:rsidR="008A675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E1481">
              <w:rPr>
                <w:rFonts w:cs="Arial"/>
                <w:b/>
                <w:sz w:val="20"/>
                <w:szCs w:val="20"/>
              </w:rPr>
              <w:t>2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E1481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Domaine d’apprentissage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> :</w:t>
            </w:r>
            <w:r w:rsidR="005E1481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5E1481" w:rsidRPr="00306B13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Questionner le monde du vivant, de la matière et des objets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du socle </w:t>
            </w:r>
            <w:r w:rsidR="00C05DF3" w:rsidRPr="00C05DF3">
              <w:rPr>
                <w:rFonts w:cs="Arial"/>
                <w:b/>
                <w:sz w:val="20"/>
                <w:szCs w:val="20"/>
              </w:rPr>
              <w:t xml:space="preserve">commun </w:t>
            </w:r>
            <w:r w:rsidRPr="00C05DF3">
              <w:rPr>
                <w:rFonts w:cs="Arial"/>
                <w:b/>
                <w:sz w:val="20"/>
                <w:szCs w:val="20"/>
              </w:rPr>
              <w:t>:</w:t>
            </w:r>
          </w:p>
          <w:p w:rsidR="005E1481" w:rsidRPr="00306B13" w:rsidRDefault="00306B13" w:rsidP="005E1481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sz w:val="20"/>
                <w:szCs w:val="20"/>
              </w:rPr>
            </w:pPr>
            <w:r w:rsidRPr="00306B13">
              <w:rPr>
                <w:rFonts w:eastAsia="Calibri" w:cs="Times"/>
                <w:sz w:val="20"/>
                <w:szCs w:val="20"/>
              </w:rPr>
              <w:t xml:space="preserve">Démarches </w:t>
            </w:r>
            <w:r w:rsidR="00B435E7">
              <w:rPr>
                <w:rFonts w:eastAsia="Calibri" w:cs="Times"/>
                <w:sz w:val="20"/>
                <w:szCs w:val="20"/>
              </w:rPr>
              <w:t>d’investigation</w:t>
            </w:r>
          </w:p>
          <w:p w:rsidR="005E1481" w:rsidRPr="00306B13" w:rsidRDefault="005E1481" w:rsidP="005E1481">
            <w:pPr>
              <w:pStyle w:val="Paragraphedeliste"/>
              <w:numPr>
                <w:ilvl w:val="0"/>
                <w:numId w:val="2"/>
              </w:numPr>
              <w:rPr>
                <w:rFonts w:eastAsia="Calibri" w:cs="Times"/>
                <w:sz w:val="20"/>
                <w:szCs w:val="20"/>
              </w:rPr>
            </w:pPr>
            <w:r w:rsidRPr="00306B13">
              <w:rPr>
                <w:rFonts w:eastAsia="Calibri" w:cs="Times"/>
                <w:sz w:val="20"/>
                <w:szCs w:val="20"/>
              </w:rPr>
              <w:t>Co</w:t>
            </w:r>
            <w:r w:rsidR="00306B13">
              <w:rPr>
                <w:rFonts w:eastAsia="Calibri" w:cs="Times"/>
                <w:sz w:val="20"/>
                <w:szCs w:val="20"/>
              </w:rPr>
              <w:t>nception, création, réalisation</w:t>
            </w:r>
          </w:p>
          <w:p w:rsidR="00F801FE" w:rsidRDefault="00BA1F06" w:rsidP="005E1481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A1F06">
              <w:rPr>
                <w:rFonts w:cs="Arial"/>
                <w:sz w:val="20"/>
                <w:szCs w:val="20"/>
              </w:rPr>
              <w:t>Connaître les trois états de la matière</w:t>
            </w:r>
          </w:p>
          <w:p w:rsidR="00BA1F06" w:rsidRDefault="00BA1F06" w:rsidP="005E1481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Décrire le rôle et les fonctions d’un objet technique (moulin à légume par exemple)</w:t>
            </w:r>
          </w:p>
          <w:p w:rsidR="00F801FE" w:rsidRPr="000A3AE7" w:rsidRDefault="00BA1F06" w:rsidP="000A3AE7">
            <w:pPr>
              <w:pStyle w:val="Paragraphedeliste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Argumenter son propos et écouter ceux des autres élèves</w:t>
            </w:r>
          </w:p>
        </w:tc>
      </w:tr>
      <w:tr w:rsidR="00F801FE" w:rsidRPr="00C05DF3" w:rsidTr="00F801FE">
        <w:tc>
          <w:tcPr>
            <w:tcW w:w="5103" w:type="dxa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Intitulé du défi :</w:t>
            </w:r>
          </w:p>
          <w:p w:rsidR="00306B13" w:rsidRDefault="00306B13">
            <w:pPr>
              <w:rPr>
                <w:rFonts w:cs="Arial"/>
                <w:b/>
                <w:sz w:val="20"/>
                <w:szCs w:val="20"/>
              </w:rPr>
            </w:pPr>
          </w:p>
          <w:p w:rsidR="00306B13" w:rsidRPr="00306B13" w:rsidRDefault="00306B13" w:rsidP="00306B13">
            <w:pPr>
              <w:rPr>
                <w:rFonts w:cs="Arial"/>
                <w:sz w:val="20"/>
                <w:szCs w:val="20"/>
              </w:rPr>
            </w:pPr>
            <w:r w:rsidRPr="00306B13">
              <w:rPr>
                <w:rFonts w:cs="Arial"/>
                <w:sz w:val="20"/>
                <w:szCs w:val="20"/>
              </w:rPr>
              <w:t xml:space="preserve">Fabriquer </w:t>
            </w:r>
            <w:r>
              <w:rPr>
                <w:rFonts w:cs="Arial"/>
                <w:sz w:val="20"/>
                <w:szCs w:val="20"/>
              </w:rPr>
              <w:t xml:space="preserve">un sorbet </w:t>
            </w:r>
            <w:r w:rsidR="00EA67A8">
              <w:rPr>
                <w:rFonts w:cs="Arial"/>
                <w:sz w:val="20"/>
                <w:szCs w:val="20"/>
              </w:rPr>
              <w:t xml:space="preserve"> sans congélateur et le conserver le plus longtemps possible.</w:t>
            </w:r>
          </w:p>
        </w:tc>
        <w:tc>
          <w:tcPr>
            <w:tcW w:w="5103" w:type="dxa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Mise en œuvre du défi :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  <w:p w:rsidR="000A3AE7" w:rsidRDefault="005E1481" w:rsidP="000A3AE7">
            <w:pPr>
              <w:numPr>
                <w:ilvl w:val="0"/>
                <w:numId w:val="4"/>
              </w:num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4025CB">
              <w:rPr>
                <w:rFonts w:eastAsia="Times New Roman"/>
                <w:sz w:val="20"/>
                <w:szCs w:val="20"/>
              </w:rPr>
              <w:t>Favoriser le travail en équipe et la mise en commun des idées.</w:t>
            </w:r>
          </w:p>
          <w:p w:rsidR="005E1481" w:rsidRPr="000A3AE7" w:rsidRDefault="005E1481" w:rsidP="000A3AE7">
            <w:pPr>
              <w:numPr>
                <w:ilvl w:val="0"/>
                <w:numId w:val="4"/>
              </w:numPr>
              <w:spacing w:after="160" w:line="259" w:lineRule="auto"/>
              <w:rPr>
                <w:rFonts w:eastAsia="Times New Roman"/>
                <w:sz w:val="20"/>
                <w:szCs w:val="20"/>
              </w:rPr>
            </w:pPr>
            <w:r w:rsidRPr="000A3AE7">
              <w:rPr>
                <w:rFonts w:eastAsia="Times New Roman"/>
                <w:sz w:val="20"/>
                <w:szCs w:val="20"/>
              </w:rPr>
              <w:t>Proposer et tester des solutions.</w:t>
            </w:r>
          </w:p>
          <w:p w:rsidR="00F801FE" w:rsidRPr="00EA67A8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4025CB">
              <w:rPr>
                <w:rFonts w:eastAsia="Times New Roman"/>
                <w:sz w:val="20"/>
                <w:szCs w:val="20"/>
              </w:rPr>
              <w:t xml:space="preserve">Construire des traces de la recherche et </w:t>
            </w:r>
            <w:r w:rsidR="008033E0">
              <w:rPr>
                <w:rFonts w:eastAsia="Times New Roman"/>
                <w:sz w:val="20"/>
                <w:szCs w:val="20"/>
              </w:rPr>
              <w:t>du sorbet</w:t>
            </w:r>
            <w:r w:rsidRPr="004025CB">
              <w:rPr>
                <w:rFonts w:eastAsia="Times New Roman"/>
                <w:sz w:val="20"/>
                <w:szCs w:val="20"/>
              </w:rPr>
              <w:t xml:space="preserve"> réalisé</w:t>
            </w:r>
            <w:r w:rsidR="00EA67A8">
              <w:rPr>
                <w:rFonts w:eastAsia="Times New Roman"/>
                <w:sz w:val="20"/>
                <w:szCs w:val="20"/>
              </w:rPr>
              <w:t>.</w:t>
            </w:r>
          </w:p>
          <w:p w:rsidR="00F801FE" w:rsidRPr="000A3AE7" w:rsidRDefault="00EA67A8" w:rsidP="000A3AE7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Expliciter les procédures utilis</w:t>
            </w:r>
            <w:r w:rsidR="008033E0">
              <w:rPr>
                <w:rFonts w:eastAsia="Times New Roman"/>
                <w:sz w:val="20"/>
                <w:szCs w:val="20"/>
              </w:rPr>
              <w:t>ées et argumenter leur utilité pour l’</w:t>
            </w:r>
            <w:r>
              <w:rPr>
                <w:rFonts w:eastAsia="Times New Roman"/>
                <w:sz w:val="20"/>
                <w:szCs w:val="20"/>
              </w:rPr>
              <w:t xml:space="preserve">obtention </w:t>
            </w:r>
            <w:r w:rsidR="008033E0">
              <w:rPr>
                <w:rFonts w:eastAsia="Times New Roman"/>
                <w:sz w:val="20"/>
                <w:szCs w:val="20"/>
              </w:rPr>
              <w:t xml:space="preserve">du sorbet (obtention </w:t>
            </w:r>
            <w:r>
              <w:rPr>
                <w:rFonts w:eastAsia="Times New Roman"/>
                <w:sz w:val="20"/>
                <w:szCs w:val="20"/>
              </w:rPr>
              <w:t>d’une purée</w:t>
            </w:r>
            <w:r w:rsidR="00BA1F06">
              <w:rPr>
                <w:rFonts w:eastAsia="Times New Roman"/>
                <w:sz w:val="20"/>
                <w:szCs w:val="20"/>
              </w:rPr>
              <w:t xml:space="preserve"> ou d’un sorbet de fruit</w:t>
            </w:r>
            <w:r>
              <w:rPr>
                <w:rFonts w:eastAsia="Times New Roman"/>
                <w:sz w:val="20"/>
                <w:szCs w:val="20"/>
              </w:rPr>
              <w:t>, filtration, émulsion, mélange</w:t>
            </w:r>
            <w:r w:rsidR="00BA1F06">
              <w:rPr>
                <w:rFonts w:eastAsia="Times New Roman"/>
                <w:sz w:val="20"/>
                <w:szCs w:val="20"/>
              </w:rPr>
              <w:t xml:space="preserve"> réfrigérant avec le sel et glace </w:t>
            </w:r>
            <w:r>
              <w:rPr>
                <w:rFonts w:eastAsia="Times New Roman"/>
                <w:sz w:val="20"/>
                <w:szCs w:val="20"/>
              </w:rPr>
              <w:t xml:space="preserve"> et solution…)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élèves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Eléments des programmes :</w:t>
            </w:r>
          </w:p>
          <w:p w:rsidR="005E1481" w:rsidRPr="00BA1F06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sz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 xml:space="preserve">Pratiquer des démarches </w:t>
            </w:r>
            <w:r w:rsidR="008033E0">
              <w:rPr>
                <w:rFonts w:ascii="Calibri" w:eastAsia="Calibri" w:hAnsi="Calibri" w:cs="Times"/>
                <w:sz w:val="20"/>
              </w:rPr>
              <w:t>d’investigation</w:t>
            </w:r>
          </w:p>
          <w:p w:rsidR="005E1481" w:rsidRPr="00BA1F06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sz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>Imaginer, réaliser</w:t>
            </w:r>
          </w:p>
          <w:p w:rsidR="005E1481" w:rsidRPr="00BA1F06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sz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>Pratiquer des langages</w:t>
            </w:r>
          </w:p>
          <w:p w:rsidR="005E1481" w:rsidRPr="00BA1F06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sz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>Adopter un comportement éthique et responsable</w:t>
            </w:r>
          </w:p>
          <w:p w:rsidR="005E1481" w:rsidRPr="00BA1F06" w:rsidRDefault="005E1481" w:rsidP="005E1481">
            <w:pPr>
              <w:pStyle w:val="Paragraphedeliste"/>
              <w:numPr>
                <w:ilvl w:val="0"/>
                <w:numId w:val="4"/>
              </w:numPr>
              <w:rPr>
                <w:rFonts w:ascii="Calibri" w:eastAsia="Calibri" w:hAnsi="Calibri" w:cs="Times"/>
                <w:sz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>S’approprier des outils et des méthodes</w:t>
            </w:r>
          </w:p>
          <w:p w:rsidR="00F801FE" w:rsidRPr="000A3AE7" w:rsidRDefault="005E1481" w:rsidP="000A3AE7">
            <w:pPr>
              <w:pStyle w:val="Paragraphedeliste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 w:rsidRPr="00BA1F06">
              <w:rPr>
                <w:rFonts w:ascii="Calibri" w:eastAsia="Calibri" w:hAnsi="Calibri" w:cs="Times"/>
                <w:sz w:val="20"/>
              </w:rPr>
              <w:t>Mobiliser des outils numériques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Objectifs pour les enseignants :</w:t>
            </w:r>
          </w:p>
          <w:p w:rsidR="005E1481" w:rsidRPr="004025CB" w:rsidRDefault="005E1481" w:rsidP="005E1481">
            <w:pPr>
              <w:numPr>
                <w:ilvl w:val="0"/>
                <w:numId w:val="5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>évelopper ses compétences professionnelles dans la didactique et la pédagogie des sciences et technologie</w:t>
            </w:r>
          </w:p>
          <w:p w:rsidR="005E1481" w:rsidRPr="004025CB" w:rsidRDefault="005E1481" w:rsidP="005E1481">
            <w:pPr>
              <w:numPr>
                <w:ilvl w:val="0"/>
                <w:numId w:val="5"/>
              </w:numPr>
              <w:spacing w:before="100" w:before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S’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 xml:space="preserve">engager dans une démarche de développement professionnel </w:t>
            </w:r>
          </w:p>
          <w:p w:rsidR="00F801FE" w:rsidRPr="001533E2" w:rsidRDefault="005E1481" w:rsidP="005E1481">
            <w:pPr>
              <w:pStyle w:val="Paragraphedeliste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="003926B3">
              <w:rPr>
                <w:rFonts w:eastAsia="Times New Roman" w:cs="Times New Roman"/>
                <w:sz w:val="20"/>
                <w:szCs w:val="20"/>
              </w:rPr>
              <w:t>nnover dans</w:t>
            </w:r>
            <w:r w:rsidRPr="004025CB">
              <w:rPr>
                <w:rFonts w:eastAsia="Times New Roman" w:cs="Times New Roman"/>
                <w:sz w:val="20"/>
                <w:szCs w:val="20"/>
              </w:rPr>
              <w:t xml:space="preserve"> la présentation de la démarche et des résultats</w:t>
            </w:r>
            <w:r w:rsidR="003926B3">
              <w:rPr>
                <w:rFonts w:eastAsia="Times New Roman" w:cs="Times New Roman"/>
                <w:sz w:val="20"/>
                <w:szCs w:val="20"/>
              </w:rPr>
              <w:t xml:space="preserve"> par les élèves</w:t>
            </w:r>
          </w:p>
          <w:p w:rsidR="00F801FE" w:rsidRPr="000A3AE7" w:rsidRDefault="001533E2" w:rsidP="000A3AE7">
            <w:pPr>
              <w:pStyle w:val="Paragraphedeliste"/>
              <w:numPr>
                <w:ilvl w:val="0"/>
                <w:numId w:val="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S’assurer de la sécurité pour la mise en œuvre du dispositif expérimental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 xml:space="preserve">Matériel </w:t>
            </w:r>
            <w:r w:rsidR="00A46A6C">
              <w:rPr>
                <w:rFonts w:cs="Arial"/>
                <w:b/>
                <w:sz w:val="20"/>
                <w:szCs w:val="20"/>
              </w:rPr>
              <w:t>possible</w:t>
            </w:r>
            <w:r w:rsidRPr="00C05DF3">
              <w:rPr>
                <w:rFonts w:cs="Arial"/>
                <w:b/>
                <w:sz w:val="20"/>
                <w:szCs w:val="20"/>
              </w:rPr>
              <w:t> :</w:t>
            </w:r>
          </w:p>
          <w:p w:rsidR="00F801FE" w:rsidRPr="00A46A6C" w:rsidRDefault="00A90553" w:rsidP="001533E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</w:t>
            </w:r>
            <w:r w:rsidR="00A46A6C" w:rsidRPr="00A46A6C">
              <w:rPr>
                <w:rFonts w:cs="Arial"/>
                <w:sz w:val="20"/>
                <w:szCs w:val="20"/>
              </w:rPr>
              <w:t xml:space="preserve"> saladier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A46A6C" w:rsidRPr="00A46A6C" w:rsidRDefault="00A46A6C" w:rsidP="001533E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A46A6C">
              <w:rPr>
                <w:rFonts w:cs="Arial"/>
                <w:sz w:val="20"/>
                <w:szCs w:val="20"/>
              </w:rPr>
              <w:t>Un moulin à légume</w:t>
            </w:r>
          </w:p>
          <w:p w:rsidR="00A46A6C" w:rsidRDefault="00A46A6C" w:rsidP="001533E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A46A6C">
              <w:rPr>
                <w:rFonts w:cs="Arial"/>
                <w:sz w:val="20"/>
                <w:szCs w:val="20"/>
              </w:rPr>
              <w:t>Une passoir</w:t>
            </w:r>
            <w:r>
              <w:rPr>
                <w:rFonts w:cs="Arial"/>
                <w:sz w:val="20"/>
                <w:szCs w:val="20"/>
              </w:rPr>
              <w:t>e</w:t>
            </w:r>
          </w:p>
          <w:p w:rsidR="00A46A6C" w:rsidRDefault="00A46A6C" w:rsidP="001533E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 sel et de la glace</w:t>
            </w:r>
          </w:p>
          <w:p w:rsidR="00A46A6C" w:rsidRDefault="00A46A6C" w:rsidP="001533E2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 ustensiles de cuisine</w:t>
            </w:r>
            <w:r w:rsidR="00A90553">
              <w:rPr>
                <w:rFonts w:cs="Arial"/>
                <w:sz w:val="20"/>
                <w:szCs w:val="20"/>
              </w:rPr>
              <w:t> : un fouet, des cuillères…</w:t>
            </w:r>
          </w:p>
          <w:p w:rsidR="00F801FE" w:rsidRPr="000A3AE7" w:rsidRDefault="00A46A6C" w:rsidP="000A3AE7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 aliments : Des fruits, des végétaux</w:t>
            </w:r>
            <w:r w:rsidR="008033E0">
              <w:rPr>
                <w:rFonts w:cs="Arial"/>
                <w:sz w:val="20"/>
                <w:szCs w:val="20"/>
              </w:rPr>
              <w:t xml:space="preserve"> entiers</w:t>
            </w:r>
            <w:r>
              <w:rPr>
                <w:rFonts w:cs="Arial"/>
                <w:sz w:val="20"/>
                <w:szCs w:val="20"/>
              </w:rPr>
              <w:t>, du sirop, du sucre, des colorants alimentaires, des arômes</w:t>
            </w:r>
            <w:r w:rsidR="004C2371">
              <w:rPr>
                <w:rFonts w:cs="Arial"/>
                <w:sz w:val="20"/>
                <w:szCs w:val="20"/>
              </w:rPr>
              <w:t>, des légumes, du sel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Modalités de restitution :</w:t>
            </w:r>
          </w:p>
          <w:p w:rsidR="00F801FE" w:rsidRPr="000A3AE7" w:rsidRDefault="00A905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Innovation dans la p</w:t>
            </w:r>
            <w:r w:rsidRPr="00A90553">
              <w:rPr>
                <w:rFonts w:cs="Arial"/>
                <w:sz w:val="20"/>
                <w:szCs w:val="20"/>
              </w:rPr>
              <w:t>résentation des éta</w:t>
            </w:r>
            <w:r>
              <w:rPr>
                <w:rFonts w:cs="Arial"/>
                <w:sz w:val="20"/>
                <w:szCs w:val="20"/>
              </w:rPr>
              <w:t>pes de réalisation du sorbet en faisant ressortir l’aspect physico-chimique ainsi que le vocabulaire spécifique à la chimie</w:t>
            </w:r>
            <w:r w:rsidR="008033E0">
              <w:rPr>
                <w:rFonts w:cs="Arial"/>
                <w:sz w:val="20"/>
                <w:szCs w:val="20"/>
              </w:rPr>
              <w:t xml:space="preserve"> </w:t>
            </w:r>
            <w:r w:rsidR="008033E0" w:rsidRPr="008033E0">
              <w:rPr>
                <w:rFonts w:cs="Arial"/>
                <w:sz w:val="20"/>
                <w:szCs w:val="20"/>
              </w:rPr>
              <w:t>utilisé avec et par les élèves</w:t>
            </w:r>
            <w:r w:rsidR="008033E0">
              <w:rPr>
                <w:rFonts w:cs="Arial"/>
                <w:sz w:val="20"/>
                <w:szCs w:val="20"/>
              </w:rPr>
              <w:t>.</w:t>
            </w:r>
          </w:p>
        </w:tc>
      </w:tr>
      <w:tr w:rsidR="00F801FE" w:rsidRPr="00C05DF3" w:rsidTr="00F801FE"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Piste d’exploration pour la démarche scientifique :</w:t>
            </w:r>
          </w:p>
          <w:p w:rsidR="00F801FE" w:rsidRPr="00C05DF3" w:rsidRDefault="005E1481">
            <w:pPr>
              <w:rPr>
                <w:rFonts w:cs="Arial"/>
                <w:b/>
                <w:sz w:val="20"/>
                <w:szCs w:val="20"/>
              </w:rPr>
            </w:pPr>
            <w:r w:rsidRPr="00E726F2">
              <w:rPr>
                <w:sz w:val="20"/>
              </w:rPr>
              <w:t xml:space="preserve">Votre réponse à ce défi </w:t>
            </w:r>
            <w:r>
              <w:rPr>
                <w:sz w:val="20"/>
              </w:rPr>
              <w:t>peut prendre toutes les formes (</w:t>
            </w:r>
            <w:r w:rsidRPr="00E726F2">
              <w:rPr>
                <w:sz w:val="20"/>
              </w:rPr>
              <w:t xml:space="preserve">schémas, photos, vidéos, enregistrements audio, textes…) en </w:t>
            </w:r>
            <w:r w:rsidR="008033E0">
              <w:rPr>
                <w:sz w:val="20"/>
              </w:rPr>
              <w:t>montrant</w:t>
            </w:r>
            <w:r w:rsidRPr="00E726F2">
              <w:rPr>
                <w:sz w:val="20"/>
              </w:rPr>
              <w:t xml:space="preserve"> la démarche </w:t>
            </w:r>
            <w:r w:rsidRPr="001B307E">
              <w:rPr>
                <w:sz w:val="20"/>
              </w:rPr>
              <w:t>d'investigation</w:t>
            </w:r>
            <w:r w:rsidR="008033E0">
              <w:rPr>
                <w:sz w:val="20"/>
              </w:rPr>
              <w:t xml:space="preserve"> réellement</w:t>
            </w:r>
            <w:r w:rsidRPr="001B307E">
              <w:rPr>
                <w:sz w:val="20"/>
              </w:rPr>
              <w:t xml:space="preserve"> </w:t>
            </w:r>
            <w:r w:rsidRPr="000E6710">
              <w:rPr>
                <w:sz w:val="20"/>
                <w:u w:val="single"/>
              </w:rPr>
              <w:t>vécue par la classe</w:t>
            </w:r>
            <w:r w:rsidRPr="001B307E">
              <w:rPr>
                <w:sz w:val="20"/>
              </w:rPr>
              <w:t xml:space="preserve"> </w:t>
            </w:r>
            <w:r w:rsidRPr="00E726F2">
              <w:rPr>
                <w:sz w:val="20"/>
              </w:rPr>
              <w:t>quel que soit le r</w:t>
            </w:r>
            <w:r>
              <w:rPr>
                <w:sz w:val="20"/>
              </w:rPr>
              <w:t>ésultat</w:t>
            </w:r>
            <w:r w:rsidR="008033E0">
              <w:rPr>
                <w:sz w:val="20"/>
              </w:rPr>
              <w:t xml:space="preserve"> obtenu</w:t>
            </w:r>
            <w:r>
              <w:rPr>
                <w:sz w:val="20"/>
              </w:rPr>
              <w:t>.</w:t>
            </w:r>
          </w:p>
          <w:p w:rsidR="00F801FE" w:rsidRPr="00C05DF3" w:rsidRDefault="00F801FE" w:rsidP="00924514">
            <w:pPr>
              <w:tabs>
                <w:tab w:val="left" w:pos="1125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F801FE" w:rsidRPr="00C05DF3" w:rsidTr="000A3AE7">
        <w:trPr>
          <w:trHeight w:val="1543"/>
        </w:trPr>
        <w:tc>
          <w:tcPr>
            <w:tcW w:w="10206" w:type="dxa"/>
            <w:gridSpan w:val="2"/>
          </w:tcPr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  <w:r w:rsidRPr="00C05DF3">
              <w:rPr>
                <w:rFonts w:cs="Arial"/>
                <w:b/>
                <w:sz w:val="20"/>
                <w:szCs w:val="20"/>
              </w:rPr>
              <w:t>Ressources documentaires pour nourrir la réflexion :</w:t>
            </w:r>
          </w:p>
          <w:p w:rsidR="00F801FE" w:rsidRPr="00C05DF3" w:rsidRDefault="00F801FE">
            <w:pPr>
              <w:rPr>
                <w:rFonts w:cs="Arial"/>
                <w:b/>
                <w:sz w:val="20"/>
                <w:szCs w:val="20"/>
              </w:rPr>
            </w:pPr>
          </w:p>
          <w:p w:rsidR="00F801FE" w:rsidRDefault="00E632E8" w:rsidP="00E632E8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Site de la Maison de la Chimie : </w:t>
            </w:r>
            <w:hyperlink r:id="rId7" w:history="1">
              <w:r w:rsidRPr="002A73DC">
                <w:rPr>
                  <w:rStyle w:val="Lienhypertexte"/>
                  <w:rFonts w:cs="Arial"/>
                  <w:b/>
                  <w:sz w:val="20"/>
                  <w:szCs w:val="20"/>
                </w:rPr>
                <w:t>www.maisondelachimie.com</w:t>
              </w:r>
            </w:hyperlink>
          </w:p>
          <w:p w:rsidR="00E632E8" w:rsidRDefault="00162A5B" w:rsidP="00E632E8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Médiachimie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 : </w:t>
            </w:r>
            <w:hyperlink r:id="rId8" w:history="1">
              <w:r w:rsidRPr="002A73DC">
                <w:rPr>
                  <w:rStyle w:val="Lienhypertexte"/>
                  <w:rFonts w:cs="Arial"/>
                  <w:b/>
                  <w:sz w:val="20"/>
                  <w:szCs w:val="20"/>
                </w:rPr>
                <w:t>www.mediachimie.org</w:t>
              </w:r>
            </w:hyperlink>
          </w:p>
          <w:p w:rsidR="00F801FE" w:rsidRPr="000A3AE7" w:rsidRDefault="003C4A9E" w:rsidP="000A3AE7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Médiathèque du CEA fabriquer une glace sans congélateur : </w:t>
            </w:r>
            <w:r w:rsidR="00277E5D" w:rsidRPr="00924514">
              <w:rPr>
                <w:rStyle w:val="Lienhypertexte"/>
                <w:rFonts w:cs="Arial"/>
                <w:b/>
                <w:sz w:val="20"/>
                <w:szCs w:val="20"/>
              </w:rPr>
              <w:t>http://www.cea.fr/multimedia/Pages/PAGES-</w:t>
            </w:r>
            <w:bookmarkStart w:id="0" w:name="_GoBack"/>
            <w:bookmarkEnd w:id="0"/>
            <w:r w:rsidR="00277E5D" w:rsidRPr="00924514">
              <w:rPr>
                <w:rStyle w:val="Lienhypertexte"/>
                <w:rFonts w:cs="Arial"/>
                <w:b/>
                <w:sz w:val="20"/>
                <w:szCs w:val="20"/>
              </w:rPr>
              <w:t>SPECIALES/Recherche-locale.aspx?k=Chimie4</w:t>
            </w:r>
          </w:p>
        </w:tc>
      </w:tr>
    </w:tbl>
    <w:p w:rsidR="0089786E" w:rsidRPr="00F801FE" w:rsidRDefault="0089786E">
      <w:pPr>
        <w:rPr>
          <w:rFonts w:cs="Arial"/>
          <w:b/>
          <w:sz w:val="16"/>
          <w:szCs w:val="16"/>
        </w:rPr>
      </w:pPr>
    </w:p>
    <w:sectPr w:rsidR="0089786E" w:rsidRPr="00F801FE" w:rsidSect="00C05DF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35A"/>
    <w:multiLevelType w:val="hybridMultilevel"/>
    <w:tmpl w:val="347A73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3AC"/>
    <w:multiLevelType w:val="hybridMultilevel"/>
    <w:tmpl w:val="196A3CEE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1B0E"/>
    <w:multiLevelType w:val="hybridMultilevel"/>
    <w:tmpl w:val="CE5E9698"/>
    <w:lvl w:ilvl="0" w:tplc="8FEE3FC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13A4"/>
    <w:multiLevelType w:val="hybridMultilevel"/>
    <w:tmpl w:val="4516B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143F2"/>
    <w:multiLevelType w:val="hybridMultilevel"/>
    <w:tmpl w:val="94E0E6F0"/>
    <w:lvl w:ilvl="0" w:tplc="FB6879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13B4"/>
    <w:multiLevelType w:val="hybridMultilevel"/>
    <w:tmpl w:val="03B47C24"/>
    <w:lvl w:ilvl="0" w:tplc="10888CB2">
      <w:start w:val="1"/>
      <w:numFmt w:val="bullet"/>
      <w:lvlText w:val=""/>
      <w:lvlJc w:val="left"/>
      <w:pPr>
        <w:ind w:left="360" w:hanging="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F0DFA"/>
    <w:multiLevelType w:val="hybridMultilevel"/>
    <w:tmpl w:val="1DCCA298"/>
    <w:lvl w:ilvl="0" w:tplc="4A9A88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D57C9"/>
    <w:multiLevelType w:val="multilevel"/>
    <w:tmpl w:val="01FA44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01B22"/>
    <w:multiLevelType w:val="hybridMultilevel"/>
    <w:tmpl w:val="987655B8"/>
    <w:lvl w:ilvl="0" w:tplc="F57ACE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C3399"/>
        <w:sz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C3D4B"/>
    <w:multiLevelType w:val="hybridMultilevel"/>
    <w:tmpl w:val="737A7D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43F6B"/>
    <w:multiLevelType w:val="hybridMultilevel"/>
    <w:tmpl w:val="774A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E"/>
    <w:rsid w:val="000044F6"/>
    <w:rsid w:val="000A3AE7"/>
    <w:rsid w:val="001533E2"/>
    <w:rsid w:val="00162A5B"/>
    <w:rsid w:val="00277E5D"/>
    <w:rsid w:val="00303E92"/>
    <w:rsid w:val="00306B13"/>
    <w:rsid w:val="003926B3"/>
    <w:rsid w:val="003C4A9E"/>
    <w:rsid w:val="003F1B10"/>
    <w:rsid w:val="00446593"/>
    <w:rsid w:val="004C2371"/>
    <w:rsid w:val="004F0E96"/>
    <w:rsid w:val="005E1481"/>
    <w:rsid w:val="00632FFB"/>
    <w:rsid w:val="008033E0"/>
    <w:rsid w:val="0089786E"/>
    <w:rsid w:val="008A6751"/>
    <w:rsid w:val="00924514"/>
    <w:rsid w:val="00A0394D"/>
    <w:rsid w:val="00A46A6C"/>
    <w:rsid w:val="00A90553"/>
    <w:rsid w:val="00B435E7"/>
    <w:rsid w:val="00BA1F06"/>
    <w:rsid w:val="00C05DF3"/>
    <w:rsid w:val="00E632E8"/>
    <w:rsid w:val="00EA67A8"/>
    <w:rsid w:val="00F161BF"/>
    <w:rsid w:val="00F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12DC-1D6D-4AD3-B11A-77A07F78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01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4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63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chimi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sondelachim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Zimmermann</dc:creator>
  <cp:keywords/>
  <dc:description/>
  <cp:lastModifiedBy>dbignossi</cp:lastModifiedBy>
  <cp:revision>7</cp:revision>
  <dcterms:created xsi:type="dcterms:W3CDTF">2018-11-09T14:36:00Z</dcterms:created>
  <dcterms:modified xsi:type="dcterms:W3CDTF">2018-11-28T06:57:00Z</dcterms:modified>
</cp:coreProperties>
</file>